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5AC" w:rsidRPr="00FA15AC" w:rsidRDefault="00FA15AC" w:rsidP="00FA15AC">
      <w:pPr>
        <w:bidi/>
        <w:spacing w:after="0" w:line="240" w:lineRule="auto"/>
        <w:ind w:left="25"/>
        <w:jc w:val="center"/>
        <w:rPr>
          <w:rFonts w:ascii="Jameel Noori Nastaleeq" w:eastAsia="Times New Roman" w:hAnsi="Jameel Noori Nastaleeq" w:cs="Jameel Noori Nastaleeq"/>
          <w:b/>
          <w:bCs/>
          <w:sz w:val="44"/>
          <w:szCs w:val="44"/>
          <w:lang w:bidi="ur-PK"/>
        </w:rPr>
      </w:pPr>
    </w:p>
    <w:p w:rsidR="00FA15AC" w:rsidRPr="00FA15AC" w:rsidRDefault="00FA15AC" w:rsidP="00FA15AC">
      <w:pPr>
        <w:bidi/>
        <w:spacing w:after="0" w:line="240" w:lineRule="auto"/>
        <w:jc w:val="center"/>
        <w:rPr>
          <w:rFonts w:ascii="Jameel Noori Nastaleeq" w:eastAsia="Times New Roman" w:hAnsi="Jameel Noori Nastaleeq" w:cs="Jameel Noori Nastaleeq"/>
          <w:b/>
          <w:bCs/>
          <w:sz w:val="10"/>
          <w:szCs w:val="10"/>
          <w:lang w:bidi="ur-PK"/>
        </w:rPr>
      </w:pPr>
    </w:p>
    <w:tbl>
      <w:tblPr>
        <w:tblStyle w:val="TableGrid1"/>
        <w:bidiVisual/>
        <w:tblW w:w="7527" w:type="dxa"/>
        <w:jc w:val="center"/>
        <w:tblLayout w:type="fixed"/>
        <w:tblLook w:val="04A0" w:firstRow="1" w:lastRow="0" w:firstColumn="1" w:lastColumn="0" w:noHBand="0" w:noVBand="1"/>
      </w:tblPr>
      <w:tblGrid>
        <w:gridCol w:w="489"/>
        <w:gridCol w:w="4031"/>
        <w:gridCol w:w="2430"/>
        <w:gridCol w:w="577"/>
      </w:tblGrid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tabs>
                <w:tab w:val="left" w:pos="829"/>
                <w:tab w:val="left" w:pos="1399"/>
              </w:tabs>
              <w:bidi/>
              <w:jc w:val="center"/>
              <w:rPr>
                <w:rFonts w:ascii="Jameel Noori Nastaleeq" w:eastAsia="Times New Roman" w:hAnsi="Jameel Noori Nastaleeq" w:cs="Jameel Noori Nastaleeq"/>
                <w:b/>
                <w:bCs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b/>
                <w:bCs/>
                <w:sz w:val="25"/>
                <w:szCs w:val="25"/>
                <w:rtl/>
                <w:lang w:bidi="ur-PK"/>
              </w:rPr>
              <w:t>م</w:t>
            </w:r>
          </w:p>
        </w:tc>
        <w:tc>
          <w:tcPr>
            <w:tcW w:w="4031" w:type="dxa"/>
          </w:tcPr>
          <w:p w:rsidR="00FA15AC" w:rsidRPr="00FA15AC" w:rsidRDefault="00FA15AC" w:rsidP="00FA15AC">
            <w:pPr>
              <w:tabs>
                <w:tab w:val="left" w:pos="829"/>
                <w:tab w:val="left" w:pos="1399"/>
              </w:tabs>
              <w:bidi/>
              <w:jc w:val="center"/>
              <w:rPr>
                <w:rFonts w:ascii="Jameel Noori Nastaleeq" w:eastAsia="Times New Roman" w:hAnsi="Jameel Noori Nastaleeq" w:cs="Jameel Noori Nastaleeq"/>
                <w:b/>
                <w:bCs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b/>
                <w:bCs/>
                <w:sz w:val="25"/>
                <w:szCs w:val="25"/>
                <w:rtl/>
                <w:lang w:bidi="ur-PK"/>
              </w:rPr>
              <w:t>مضمون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b/>
                <w:bCs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b/>
                <w:bCs/>
                <w:sz w:val="25"/>
                <w:szCs w:val="25"/>
                <w:rtl/>
                <w:lang w:bidi="ur-PK"/>
              </w:rPr>
              <w:t>م</w:t>
            </w:r>
            <w:r w:rsidRPr="00FA15AC">
              <w:rPr>
                <w:rFonts w:ascii="Jameel Noori Nastaleeq" w:eastAsia="Times New Roman" w:hAnsi="Jameel Noori Nastaleeq" w:cs="Jameel Noori Nastaleeq" w:hint="cs"/>
                <w:b/>
                <w:bCs/>
                <w:sz w:val="25"/>
                <w:szCs w:val="25"/>
                <w:rtl/>
              </w:rPr>
              <w:t>ؤ</w:t>
            </w:r>
            <w:r w:rsidRPr="00FA15AC">
              <w:rPr>
                <w:rFonts w:ascii="Jameel Noori Nastaleeq" w:eastAsia="Times New Roman" w:hAnsi="Jameel Noori Nastaleeq" w:cs="Jameel Noori Nastaleeq" w:hint="cs"/>
                <w:b/>
                <w:bCs/>
                <w:sz w:val="25"/>
                <w:szCs w:val="25"/>
                <w:rtl/>
                <w:lang w:bidi="ur-PK"/>
              </w:rPr>
              <w:t>لف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b/>
                <w:bCs/>
                <w:spacing w:val="-8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b/>
                <w:bCs/>
                <w:spacing w:val="-8"/>
                <w:sz w:val="25"/>
                <w:szCs w:val="25"/>
                <w:rtl/>
                <w:lang w:bidi="ur-PK"/>
              </w:rPr>
              <w:t>صفحہ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tabs>
                <w:tab w:val="left" w:pos="829"/>
                <w:tab w:val="left" w:pos="1399"/>
              </w:tabs>
              <w:bidi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tabs>
                <w:tab w:val="left" w:pos="829"/>
                <w:tab w:val="left" w:pos="1399"/>
              </w:tabs>
              <w:bidi/>
              <w:spacing w:line="276" w:lineRule="auto"/>
              <w:jc w:val="both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اداریہ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spacing w:line="276" w:lineRule="auto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مدیر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spacing w:line="276" w:lineRule="auto"/>
              <w:jc w:val="center"/>
              <w:rPr>
                <w:rFonts w:ascii="Jameel Noori Nastaleeq" w:eastAsia="Times New Roman" w:hAnsi="Jameel Noori Nastaleeq" w:cs="Jameel Noori Nastaleeq"/>
                <w:b/>
                <w:bCs/>
                <w:spacing w:val="-8"/>
                <w:sz w:val="25"/>
                <w:szCs w:val="25"/>
                <w:rtl/>
                <w:lang w:bidi="ur-PK"/>
              </w:rPr>
            </w:pPr>
          </w:p>
        </w:tc>
      </w:tr>
      <w:tr w:rsidR="00FA15AC" w:rsidRPr="00FA15AC" w:rsidTr="00D57EA6">
        <w:trPr>
          <w:trHeight w:val="602"/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spacing w:line="276" w:lineRule="auto"/>
              <w:jc w:val="both"/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مثنوی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آب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رواں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(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قرآن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مجید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کے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منظوم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ترجمے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)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کا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تحقیقی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وتنقیدی</w:t>
            </w:r>
            <w:r w:rsidRPr="00FA15AC">
              <w:rPr>
                <w:rFonts w:ascii="Jameel Noori Nastaleeq" w:eastAsia="Times New Roman" w:hAnsi="Jameel Noori Nastaleeq" w:cs="Jameel Noori Nastaleeq"/>
                <w:spacing w:val="-1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6"/>
                <w:sz w:val="25"/>
                <w:szCs w:val="25"/>
                <w:rtl/>
                <w:lang w:bidi="ur-PK"/>
              </w:rPr>
              <w:t>جائزہ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spacing w:line="276" w:lineRule="auto"/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  <w:lang w:eastAsia="ur-PK" w:bidi="ur-PK"/>
              </w:rPr>
            </w:pPr>
            <w:r w:rsidRPr="00FA15AC">
              <w:rPr>
                <w:rFonts w:ascii="Jameel Noori Nastaleeq" w:eastAsia="Calibri" w:hAnsi="Jameel Noori Nastaleeq" w:cs="Jameel Noori Nastaleeq" w:hint="cs"/>
                <w:sz w:val="25"/>
                <w:szCs w:val="25"/>
                <w:rtl/>
                <w:lang w:bidi="ur-PK"/>
              </w:rPr>
              <w:t>ڈاکٹر</w:t>
            </w: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Calibri" w:hAnsi="Jameel Noori Nastaleeq" w:cs="Jameel Noori Nastaleeq" w:hint="cs"/>
                <w:sz w:val="25"/>
                <w:szCs w:val="25"/>
                <w:rtl/>
                <w:lang w:bidi="ur-PK"/>
              </w:rPr>
              <w:t>محمد</w:t>
            </w: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Calibri" w:hAnsi="Jameel Noori Nastaleeq" w:cs="Jameel Noori Nastaleeq" w:hint="cs"/>
                <w:sz w:val="25"/>
                <w:szCs w:val="25"/>
                <w:rtl/>
                <w:lang w:bidi="ur-PK"/>
              </w:rPr>
              <w:t>سعید</w:t>
            </w: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Calibri" w:hAnsi="Jameel Noori Nastaleeq" w:cs="Jameel Noori Nastaleeq" w:hint="cs"/>
                <w:sz w:val="25"/>
                <w:szCs w:val="25"/>
                <w:rtl/>
                <w:lang w:bidi="ur-PK"/>
              </w:rPr>
              <w:t>شیخ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spacing w:line="276" w:lineRule="auto"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1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اردو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تراجم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قرآن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کا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ارتقاء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،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موضح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الفرقان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کا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خصوصی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 xml:space="preserve">مطالعہ 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رشید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احمد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>/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 xml:space="preserve">ڈاكٹرسعىدالرحمٰن 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spacing w:line="276" w:lineRule="auto"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19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فکرِابنِ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تیمیہ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کی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اشاعت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میں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نواب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صدیق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حسن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خاں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کی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مساعی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ڈاکٹرمحموداحمد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35</w:t>
            </w:r>
          </w:p>
        </w:tc>
      </w:tr>
      <w:tr w:rsidR="00FA15AC" w:rsidRPr="00FA15AC" w:rsidTr="00D57EA6">
        <w:trPr>
          <w:trHeight w:val="503"/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حکمرانوں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کے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اختیارات،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تصور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احتساب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اور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اسلامی</w:t>
            </w: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z w:val="25"/>
                <w:szCs w:val="25"/>
                <w:rtl/>
                <w:lang w:bidi="ur-PK"/>
              </w:rPr>
              <w:t>تعلیمات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فىاض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احمد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فاروق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/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ڈاكٹرادرىس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لودھى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  <w:t>49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مسیح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موعود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اور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آسمانی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بادشاہت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سے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متعلق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مسیحی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دینیات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اور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</w:p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ہزاری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فکرکا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علمی</w:t>
            </w:r>
            <w:r w:rsidRPr="00FA15AC">
              <w:rPr>
                <w:rFonts w:ascii="Jameel Noori Nastaleeq" w:eastAsia="Times New Roman" w:hAnsi="Jameel Noori Nastaleeq" w:cs="Jameel Noori Nastaleeq"/>
                <w:spacing w:val="-10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0"/>
                <w:sz w:val="25"/>
                <w:szCs w:val="25"/>
                <w:rtl/>
                <w:lang w:bidi="ur-PK"/>
              </w:rPr>
              <w:t>جائزہ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ڈاكٹرمشتاق  احمد</w:t>
            </w:r>
            <w:r w:rsidRPr="00FA15AC"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/</w:t>
            </w:r>
            <w:r w:rsidRPr="00FA15AC"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lang w:bidi="ur-PK"/>
              </w:rPr>
              <w:t xml:space="preserve"> 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ڈاكٹرمحمد عالم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spacing w:line="276" w:lineRule="auto"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63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حدیث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پر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مستشرقین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کے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اعتراضات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كا</w:t>
            </w:r>
            <w:r w:rsidRPr="00FA15AC">
              <w:rPr>
                <w:rFonts w:ascii="Jameel Noori Nastaleeq" w:eastAsia="Times New Roman" w:hAnsi="Jameel Noori Nastaleeq" w:cs="Jameel Noori Nastaleeq"/>
                <w:spacing w:val="-6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6"/>
                <w:sz w:val="25"/>
                <w:szCs w:val="25"/>
                <w:rtl/>
                <w:lang w:bidi="ur-PK"/>
              </w:rPr>
              <w:t>جائزہ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ڈاکٹر</w:t>
            </w:r>
            <w:r w:rsidRPr="00FA15AC"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سید</w:t>
            </w:r>
            <w:r w:rsidRPr="00FA15AC"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عبدالغفار</w:t>
            </w:r>
            <w:r w:rsidRPr="00FA15AC">
              <w:rPr>
                <w:rFonts w:ascii="Jameel Noori Nastaleeq" w:eastAsia="Times New Roman" w:hAnsi="Jameel Noori Nastaleeq" w:cs="Jameel Noori Nastaleeq"/>
                <w:spacing w:val="-14"/>
                <w:sz w:val="25"/>
                <w:szCs w:val="25"/>
                <w:rtl/>
                <w:lang w:bidi="ur-PK"/>
              </w:rPr>
              <w:t xml:space="preserve"> </w:t>
            </w:r>
            <w:r w:rsidRPr="00FA15AC">
              <w:rPr>
                <w:rFonts w:ascii="Jameel Noori Nastaleeq" w:eastAsia="Times New Roman" w:hAnsi="Jameel Noori Nastaleeq" w:cs="Jameel Noori Nastaleeq" w:hint="cs"/>
                <w:spacing w:val="-14"/>
                <w:sz w:val="25"/>
                <w:szCs w:val="25"/>
                <w:rtl/>
                <w:lang w:bidi="ur-PK"/>
              </w:rPr>
              <w:t>بخاری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77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القصاص ودو</w:t>
            </w:r>
            <w:r w:rsidRPr="00FA15AC">
              <w:rPr>
                <w:rFonts w:ascii="Traditional Arabic" w:eastAsia="Calibri" w:hAnsi="Traditional Arabic" w:cs="Traditional Arabic" w:hint="cs"/>
                <w:rtl/>
              </w:rPr>
              <w:t>ره</w:t>
            </w:r>
            <w:r w:rsidRPr="00FA15AC">
              <w:rPr>
                <w:rFonts w:ascii="Traditional Arabic" w:eastAsia="Calibri" w:hAnsi="Traditional Arabic" w:cs="Traditional Arabic"/>
                <w:rtl/>
              </w:rPr>
              <w:t xml:space="preserve"> في حفظ الدماء</w:t>
            </w:r>
            <w:r w:rsidRPr="00FA15AC">
              <w:rPr>
                <w:rFonts w:ascii="Traditional Arabic" w:eastAsia="Calibri" w:hAnsi="Traditional Arabic" w:cs="Traditional Arabic" w:hint="cs"/>
                <w:rtl/>
              </w:rPr>
              <w:t xml:space="preserve"> 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فضل ودود/د.خل</w:t>
            </w:r>
            <w:r w:rsidRPr="00FA15AC">
              <w:rPr>
                <w:rFonts w:ascii="Traditional Arabic" w:eastAsia="Calibri" w:hAnsi="Traditional Arabic" w:cs="Traditional Arabic" w:hint="cs"/>
                <w:rtl/>
              </w:rPr>
              <w:t>ي</w:t>
            </w:r>
            <w:r w:rsidRPr="00FA15AC">
              <w:rPr>
                <w:rFonts w:ascii="Traditional Arabic" w:eastAsia="Calibri" w:hAnsi="Traditional Arabic" w:cs="Traditional Arabic"/>
                <w:rtl/>
              </w:rPr>
              <w:t>ل الرحمن</w:t>
            </w:r>
            <w:r w:rsidRPr="00FA15AC">
              <w:rPr>
                <w:rFonts w:ascii="Traditional Arabic" w:eastAsia="Calibri" w:hAnsi="Traditional Arabic" w:cs="Traditional Arabic" w:hint="cs"/>
                <w:rtl/>
              </w:rPr>
              <w:t xml:space="preserve"> 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jc w:val="center"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</w:rPr>
              <w:t>101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Times New Roman" w:hAnsi="Jameel Noori Nastaleeq" w:cs="Jameel Noori Nastaleeq"/>
                <w:sz w:val="25"/>
                <w:szCs w:val="25"/>
                <w:rtl/>
                <w:lang w:bidi="ur-PK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الهندوسية في المصادر العربية: دراسة وصفية تحليلية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عبد الرحمن خليل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jc w:val="center"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</w:rPr>
              <w:t>115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روائع البديع وأساليبه في سورة الطور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spacing w:val="-6"/>
                <w:rtl/>
              </w:rPr>
              <w:t>د</w:t>
            </w:r>
            <w:r w:rsidRPr="00FA15AC">
              <w:rPr>
                <w:rFonts w:ascii="Traditional Arabic" w:eastAsia="Calibri" w:hAnsi="Traditional Arabic" w:cs="Traditional Arabic"/>
                <w:spacing w:val="-6"/>
              </w:rPr>
              <w:t>.</w:t>
            </w:r>
            <w:r w:rsidRPr="00FA15AC">
              <w:rPr>
                <w:rFonts w:ascii="Traditional Arabic" w:eastAsia="Calibri" w:hAnsi="Traditional Arabic" w:cs="Traditional Arabic"/>
                <w:spacing w:val="-6"/>
                <w:rtl/>
              </w:rPr>
              <w:t xml:space="preserve"> مُحَمّد أيّوب الرَّشِيْدي</w:t>
            </w:r>
            <w:r w:rsidRPr="00FA15AC">
              <w:rPr>
                <w:rFonts w:ascii="Traditional Arabic" w:eastAsia="Calibri" w:hAnsi="Traditional Arabic" w:cs="Traditional Arabic"/>
                <w:spacing w:val="-6"/>
              </w:rPr>
              <w:t>/</w:t>
            </w:r>
            <w:r w:rsidRPr="00FA15AC">
              <w:rPr>
                <w:rFonts w:ascii="Traditional Arabic" w:eastAsia="Calibri" w:hAnsi="Traditional Arabic" w:cs="Traditional Arabic"/>
                <w:spacing w:val="-6"/>
                <w:rtl/>
              </w:rPr>
              <w:t>د.محمد ظاهرشاه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jc w:val="center"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</w:rPr>
              <w:t>121</w:t>
            </w:r>
          </w:p>
        </w:tc>
      </w:tr>
      <w:tr w:rsidR="00FA15AC" w:rsidRPr="00FA15AC" w:rsidTr="00D57EA6">
        <w:trPr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bidi/>
              <w:jc w:val="both"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نشأة القواعد الفقهية وتطورها وبعض المؤلفات فيها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Traditional Arabic" w:eastAsia="Calibri" w:hAnsi="Traditional Arabic" w:cs="Traditional Arabic"/>
              </w:rPr>
            </w:pPr>
            <w:r w:rsidRPr="00FA15AC">
              <w:rPr>
                <w:rFonts w:ascii="Traditional Arabic" w:eastAsia="Calibri" w:hAnsi="Traditional Arabic" w:cs="Traditional Arabic"/>
                <w:rtl/>
              </w:rPr>
              <w:t>بركت الله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jc w:val="center"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  <w:r w:rsidRPr="00FA15AC">
              <w:rPr>
                <w:rFonts w:ascii="Jameel Noori Nastaleeq" w:eastAsia="Calibri" w:hAnsi="Jameel Noori Nastaleeq" w:cs="Jameel Noori Nastaleeq"/>
                <w:sz w:val="25"/>
                <w:szCs w:val="25"/>
                <w:rtl/>
              </w:rPr>
              <w:t>135</w:t>
            </w:r>
          </w:p>
        </w:tc>
      </w:tr>
      <w:tr w:rsidR="00FA15AC" w:rsidRPr="00FA15AC" w:rsidTr="00D57EA6">
        <w:trPr>
          <w:trHeight w:val="476"/>
          <w:jc w:val="center"/>
        </w:trPr>
        <w:tc>
          <w:tcPr>
            <w:tcW w:w="489" w:type="dxa"/>
          </w:tcPr>
          <w:p w:rsidR="00FA15AC" w:rsidRPr="00FA15AC" w:rsidRDefault="00FA15AC" w:rsidP="00FA15AC">
            <w:pPr>
              <w:numPr>
                <w:ilvl w:val="0"/>
                <w:numId w:val="1"/>
              </w:numPr>
              <w:bidi/>
              <w:contextualSpacing/>
              <w:rPr>
                <w:rFonts w:ascii="Jameel Noori Nastaleeq" w:eastAsia="Calibri" w:hAnsi="Jameel Noori Nastaleeq" w:cs="Jameel Noori Nastaleeq"/>
                <w:sz w:val="25"/>
                <w:szCs w:val="25"/>
              </w:rPr>
            </w:pPr>
          </w:p>
        </w:tc>
        <w:tc>
          <w:tcPr>
            <w:tcW w:w="4031" w:type="dxa"/>
          </w:tcPr>
          <w:p w:rsidR="00FA15AC" w:rsidRPr="00FA15AC" w:rsidRDefault="00FA15AC" w:rsidP="00FA15AC">
            <w:pPr>
              <w:tabs>
                <w:tab w:val="left" w:pos="2401"/>
              </w:tabs>
              <w:bidi/>
              <w:jc w:val="both"/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</w:pP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تفسير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مفاهيم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القرآن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لجعفر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السبحاني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ومزایاه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في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رؤية</w:t>
            </w:r>
            <w:r w:rsidRPr="00FA15AC">
              <w:rPr>
                <w:rFonts w:ascii="Calibri" w:eastAsia="Calibri" w:hAnsi="Calibri" w:cs="Traditional Arabic"/>
                <w:spacing w:val="-4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عابر</w:t>
            </w:r>
            <w:bookmarkStart w:id="0" w:name="_GoBack"/>
            <w:bookmarkEnd w:id="0"/>
            <w:r w:rsidRPr="00FA15AC">
              <w:rPr>
                <w:rFonts w:ascii="Calibri" w:eastAsia="Calibri" w:hAnsi="Calibri" w:cs="Traditional Arabic" w:hint="cs"/>
                <w:spacing w:val="-4"/>
                <w:sz w:val="25"/>
                <w:szCs w:val="25"/>
                <w:rtl/>
              </w:rPr>
              <w:t>ة</w:t>
            </w:r>
          </w:p>
        </w:tc>
        <w:tc>
          <w:tcPr>
            <w:tcW w:w="2430" w:type="dxa"/>
          </w:tcPr>
          <w:p w:rsidR="00FA15AC" w:rsidRPr="00FA15AC" w:rsidRDefault="00FA15AC" w:rsidP="00FA15AC">
            <w:pPr>
              <w:bidi/>
              <w:rPr>
                <w:rFonts w:ascii="Traditional Arabic" w:eastAsia="Calibri" w:hAnsi="Traditional Arabic" w:cs="Traditional Arabic"/>
                <w:sz w:val="25"/>
                <w:szCs w:val="25"/>
                <w:rtl/>
              </w:rPr>
            </w:pP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د</w:t>
            </w:r>
            <w:r w:rsidRPr="00FA15AC">
              <w:rPr>
                <w:rFonts w:ascii="Traditional Arabic" w:eastAsia="Calibri" w:hAnsi="Traditional Arabic" w:cs="Traditional Arabic"/>
                <w:sz w:val="25"/>
                <w:szCs w:val="25"/>
                <w:rtl/>
              </w:rPr>
              <w:t xml:space="preserve">. </w:t>
            </w: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محمد</w:t>
            </w:r>
            <w:r w:rsidRPr="00FA15AC">
              <w:rPr>
                <w:rFonts w:ascii="Traditional Arabic" w:eastAsia="Calibri" w:hAnsi="Traditional Arabic" w:cs="Traditional Arabic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عارف</w:t>
            </w:r>
            <w:r w:rsidRPr="00FA15AC">
              <w:rPr>
                <w:rFonts w:ascii="Traditional Arabic" w:eastAsia="Calibri" w:hAnsi="Traditional Arabic" w:cs="Traditional Arabic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عطائي</w:t>
            </w:r>
            <w:r w:rsidRPr="00FA15AC">
              <w:rPr>
                <w:rFonts w:ascii="Traditional Arabic" w:eastAsia="Calibri" w:hAnsi="Traditional Arabic" w:cs="Traditional Arabic"/>
                <w:sz w:val="25"/>
                <w:szCs w:val="25"/>
                <w:rtl/>
              </w:rPr>
              <w:t xml:space="preserve"> </w:t>
            </w: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عبد</w:t>
            </w:r>
            <w:r w:rsidRPr="00FA15AC">
              <w:rPr>
                <w:rFonts w:ascii="Traditional Arabic" w:eastAsia="Calibri" w:hAnsi="Traditional Arabic" w:cs="Traditional Arabic"/>
                <w:sz w:val="25"/>
                <w:szCs w:val="25"/>
              </w:rPr>
              <w:t xml:space="preserve"> </w:t>
            </w:r>
            <w:r w:rsidRPr="00FA15AC">
              <w:rPr>
                <w:rFonts w:ascii="Traditional Arabic" w:eastAsia="Calibri" w:hAnsi="Traditional Arabic" w:cs="Traditional Arabic" w:hint="cs"/>
                <w:sz w:val="25"/>
                <w:szCs w:val="25"/>
                <w:rtl/>
              </w:rPr>
              <w:t>الكريم</w:t>
            </w:r>
          </w:p>
        </w:tc>
        <w:tc>
          <w:tcPr>
            <w:tcW w:w="577" w:type="dxa"/>
          </w:tcPr>
          <w:p w:rsidR="00FA15AC" w:rsidRPr="00FA15AC" w:rsidRDefault="00FA15AC" w:rsidP="00FA15AC">
            <w:pPr>
              <w:bidi/>
              <w:jc w:val="center"/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</w:pPr>
            <w:r w:rsidRPr="00FA15AC">
              <w:rPr>
                <w:rFonts w:ascii="Jameel Noori Nastaleeq" w:eastAsia="Times New Roman" w:hAnsi="Jameel Noori Nastaleeq" w:cs="Jameel Noori Nastaleeq"/>
                <w:sz w:val="25"/>
                <w:szCs w:val="25"/>
                <w:lang w:bidi="ur-PK"/>
              </w:rPr>
              <w:t>143</w:t>
            </w:r>
          </w:p>
        </w:tc>
      </w:tr>
    </w:tbl>
    <w:p w:rsidR="00FA15AC" w:rsidRPr="00FA15AC" w:rsidRDefault="00FA15AC" w:rsidP="00FA15AC">
      <w:pPr>
        <w:bidi/>
        <w:spacing w:after="0" w:line="240" w:lineRule="auto"/>
        <w:jc w:val="center"/>
        <w:rPr>
          <w:rFonts w:ascii="Jameel Noori Nastaleeq" w:eastAsia="Times New Roman" w:hAnsi="Jameel Noori Nastaleeq" w:cs="Jameel Noori Nastaleeq"/>
          <w:b/>
          <w:bCs/>
          <w:sz w:val="36"/>
          <w:szCs w:val="36"/>
          <w:rtl/>
          <w:lang w:bidi="ur-PK"/>
        </w:rPr>
      </w:pPr>
    </w:p>
    <w:p w:rsidR="00FA15AC" w:rsidRPr="00FA15AC" w:rsidRDefault="00FA15AC" w:rsidP="00FA1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15AC">
        <w:rPr>
          <w:rFonts w:ascii="Times New Roman" w:eastAsia="Times New Roman" w:hAnsi="Times New Roman" w:cs="Times New Roman"/>
          <w:b/>
          <w:bCs/>
          <w:sz w:val="28"/>
          <w:szCs w:val="28"/>
        </w:rPr>
        <w:t>Contents</w:t>
      </w:r>
    </w:p>
    <w:p w:rsidR="00FA15AC" w:rsidRPr="00FA15AC" w:rsidRDefault="00FA15AC" w:rsidP="00FA1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2"/>
        <w:tblW w:w="6517" w:type="dxa"/>
        <w:jc w:val="center"/>
        <w:tblLook w:val="04A0" w:firstRow="1" w:lastRow="0" w:firstColumn="1" w:lastColumn="0" w:noHBand="0" w:noVBand="1"/>
      </w:tblPr>
      <w:tblGrid>
        <w:gridCol w:w="499"/>
        <w:gridCol w:w="5424"/>
        <w:gridCol w:w="594"/>
      </w:tblGrid>
      <w:tr w:rsidR="00FA15AC" w:rsidRPr="00FA15AC" w:rsidTr="00D57EA6">
        <w:trPr>
          <w:trHeight w:val="576"/>
          <w:jc w:val="center"/>
        </w:trPr>
        <w:tc>
          <w:tcPr>
            <w:tcW w:w="499" w:type="dxa"/>
            <w:vAlign w:val="center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 w:rsidRPr="00FA15AC">
              <w:rPr>
                <w:rFonts w:ascii="Garamond" w:hAnsi="Garamond" w:cs="Arial"/>
                <w:b/>
                <w:bCs/>
                <w:sz w:val="24"/>
                <w:szCs w:val="24"/>
              </w:rPr>
              <w:t>S#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tabs>
                <w:tab w:val="left" w:pos="1515"/>
              </w:tabs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 w:rsidRPr="00FA15AC">
              <w:rPr>
                <w:rFonts w:ascii="Garamond" w:hAnsi="Garamond" w:cs="Arial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594" w:type="dxa"/>
            <w:vAlign w:val="center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b/>
                <w:bCs/>
                <w:spacing w:val="-6"/>
                <w:sz w:val="20"/>
                <w:szCs w:val="20"/>
              </w:rPr>
            </w:pPr>
            <w:r w:rsidRPr="00FA15AC">
              <w:rPr>
                <w:rFonts w:ascii="Garamond" w:hAnsi="Garamond" w:cs="Arial"/>
                <w:b/>
                <w:bCs/>
                <w:spacing w:val="-6"/>
              </w:rPr>
              <w:t>P #</w:t>
            </w:r>
          </w:p>
        </w:tc>
      </w:tr>
      <w:tr w:rsidR="00FA15AC" w:rsidRPr="00FA15AC" w:rsidTr="00D57EA6">
        <w:trPr>
          <w:trHeight w:val="576"/>
          <w:jc w:val="center"/>
        </w:trPr>
        <w:tc>
          <w:tcPr>
            <w:tcW w:w="499" w:type="dxa"/>
            <w:vAlign w:val="center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1.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jc w:val="both"/>
              <w:rPr>
                <w:rFonts w:ascii="INSIGHTSPerpetua" w:hAnsi="INSIGHTSPerpetua" w:cs="Arial"/>
                <w:sz w:val="24"/>
                <w:szCs w:val="24"/>
              </w:rPr>
            </w:pPr>
            <w:r w:rsidRPr="00FA15AC">
              <w:rPr>
                <w:rFonts w:ascii="INSIGHTSPerpetua" w:hAnsi="INSIGHTSPerpetua" w:cs="Arial"/>
                <w:sz w:val="24"/>
                <w:szCs w:val="24"/>
              </w:rPr>
              <w:t>Monarch, Malik and Mull┐ and the Traditional Authority Pattern among the Afghans (1747-1880)</w:t>
            </w:r>
          </w:p>
        </w:tc>
        <w:tc>
          <w:tcPr>
            <w:tcW w:w="594" w:type="dxa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1</w:t>
            </w:r>
          </w:p>
        </w:tc>
      </w:tr>
      <w:tr w:rsidR="00FA15AC" w:rsidRPr="00FA15AC" w:rsidTr="00D57EA6">
        <w:trPr>
          <w:trHeight w:val="576"/>
          <w:jc w:val="center"/>
        </w:trPr>
        <w:tc>
          <w:tcPr>
            <w:tcW w:w="499" w:type="dxa"/>
            <w:vAlign w:val="center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2.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jc w:val="both"/>
              <w:rPr>
                <w:rFonts w:ascii="INSIGHTSPerpetua" w:hAnsi="INSIGHTSPerpetua" w:cs="Arial"/>
                <w:sz w:val="24"/>
                <w:szCs w:val="24"/>
              </w:rPr>
            </w:pPr>
            <w:r w:rsidRPr="00FA15AC">
              <w:rPr>
                <w:rFonts w:ascii="INSIGHTSPerpetua" w:hAnsi="INSIGHTSPerpetua" w:cs="Arial"/>
                <w:sz w:val="24"/>
                <w:szCs w:val="24"/>
              </w:rPr>
              <w:t>Human Embryo’s Developmental Stages of Fertilization,   Implantation and ‘</w:t>
            </w:r>
            <w:proofErr w:type="spellStart"/>
            <w:r w:rsidRPr="00FA15AC">
              <w:rPr>
                <w:rFonts w:ascii="INSIGHTSPerpetua" w:hAnsi="INSIGHTSPerpetua" w:cs="Arial"/>
                <w:sz w:val="24"/>
                <w:szCs w:val="24"/>
              </w:rPr>
              <w:t>Alaqah</w:t>
            </w:r>
            <w:proofErr w:type="spellEnd"/>
            <w:r w:rsidRPr="00FA15AC">
              <w:rPr>
                <w:rFonts w:ascii="INSIGHTSPerpetua" w:hAnsi="INSIGHTSPerpetua" w:cs="Arial"/>
                <w:sz w:val="24"/>
                <w:szCs w:val="24"/>
              </w:rPr>
              <w:t xml:space="preserve"> -A Comparative Study of Islam and    Embryology</w:t>
            </w:r>
          </w:p>
        </w:tc>
        <w:tc>
          <w:tcPr>
            <w:tcW w:w="594" w:type="dxa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9</w:t>
            </w:r>
          </w:p>
        </w:tc>
      </w:tr>
      <w:tr w:rsidR="00FA15AC" w:rsidRPr="00FA15AC" w:rsidTr="00D57EA6">
        <w:trPr>
          <w:trHeight w:val="404"/>
          <w:jc w:val="center"/>
        </w:trPr>
        <w:tc>
          <w:tcPr>
            <w:tcW w:w="499" w:type="dxa"/>
          </w:tcPr>
          <w:p w:rsidR="00FA15AC" w:rsidRPr="00FA15AC" w:rsidRDefault="00FA15AC" w:rsidP="00FA15AC">
            <w:pPr>
              <w:ind w:left="9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3.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jc w:val="both"/>
              <w:rPr>
                <w:rFonts w:ascii="INSIGHTSPerpetua" w:hAnsi="INSIGHTSPerpetua" w:cs="Arial"/>
                <w:sz w:val="24"/>
                <w:szCs w:val="24"/>
              </w:rPr>
            </w:pPr>
            <w:r w:rsidRPr="00FA15AC">
              <w:rPr>
                <w:rFonts w:ascii="INSIGHTSPerpetua" w:hAnsi="INSIGHTSPerpetua" w:cs="Arial"/>
                <w:sz w:val="24"/>
                <w:szCs w:val="24"/>
              </w:rPr>
              <w:t xml:space="preserve">Islamic </w:t>
            </w:r>
            <w:proofErr w:type="spellStart"/>
            <w:r w:rsidRPr="00FA15AC">
              <w:rPr>
                <w:rFonts w:ascii="INSIGHTSPerpetua" w:hAnsi="INSIGHTSPerpetua" w:cs="Arial"/>
                <w:sz w:val="24"/>
                <w:szCs w:val="24"/>
              </w:rPr>
              <w:t>Shar┘’ah</w:t>
            </w:r>
            <w:proofErr w:type="spellEnd"/>
            <w:r w:rsidRPr="00FA15AC">
              <w:rPr>
                <w:rFonts w:ascii="INSIGHTSPerpetua" w:hAnsi="INSIGHTSPerpetua" w:cs="Arial"/>
                <w:sz w:val="24"/>
                <w:szCs w:val="24"/>
              </w:rPr>
              <w:t xml:space="preserve"> and the Status of Women in South Asia </w:t>
            </w:r>
          </w:p>
        </w:tc>
        <w:tc>
          <w:tcPr>
            <w:tcW w:w="594" w:type="dxa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17</w:t>
            </w:r>
          </w:p>
        </w:tc>
      </w:tr>
      <w:tr w:rsidR="00FA15AC" w:rsidRPr="00FA15AC" w:rsidTr="00D57EA6">
        <w:trPr>
          <w:trHeight w:val="611"/>
          <w:jc w:val="center"/>
        </w:trPr>
        <w:tc>
          <w:tcPr>
            <w:tcW w:w="499" w:type="dxa"/>
          </w:tcPr>
          <w:p w:rsidR="00FA15AC" w:rsidRPr="00FA15AC" w:rsidRDefault="00FA15AC" w:rsidP="00FA15AC">
            <w:pPr>
              <w:ind w:left="9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4.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jc w:val="both"/>
              <w:rPr>
                <w:rFonts w:ascii="INSIGHTSPerpetua" w:hAnsi="INSIGHTSPerpetua" w:cs="Arial"/>
                <w:sz w:val="24"/>
                <w:szCs w:val="24"/>
              </w:rPr>
            </w:pPr>
            <w:r w:rsidRPr="00FA15AC">
              <w:rPr>
                <w:rFonts w:ascii="INSIGHTSPerpetua" w:hAnsi="INSIGHTSPerpetua" w:cs="Arial"/>
                <w:sz w:val="24"/>
                <w:szCs w:val="24"/>
              </w:rPr>
              <w:t>Traces And Treatment of a Forgotten Sunnah Therapy: Al-╓</w:t>
            </w:r>
            <w:proofErr w:type="spellStart"/>
            <w:r w:rsidRPr="00FA15AC">
              <w:rPr>
                <w:rFonts w:ascii="INSIGHTSPerpetua" w:hAnsi="INSIGHTSPerpetua" w:cs="Arial"/>
                <w:sz w:val="24"/>
                <w:szCs w:val="24"/>
              </w:rPr>
              <w:t>ij┐mah</w:t>
            </w:r>
            <w:proofErr w:type="spellEnd"/>
          </w:p>
        </w:tc>
        <w:tc>
          <w:tcPr>
            <w:tcW w:w="594" w:type="dxa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23</w:t>
            </w:r>
          </w:p>
        </w:tc>
      </w:tr>
      <w:tr w:rsidR="00FA15AC" w:rsidRPr="00FA15AC" w:rsidTr="00D57EA6">
        <w:trPr>
          <w:trHeight w:val="611"/>
          <w:jc w:val="center"/>
        </w:trPr>
        <w:tc>
          <w:tcPr>
            <w:tcW w:w="499" w:type="dxa"/>
          </w:tcPr>
          <w:p w:rsidR="00FA15AC" w:rsidRPr="00FA15AC" w:rsidRDefault="00FA15AC" w:rsidP="00FA15AC">
            <w:pPr>
              <w:ind w:left="9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5.</w:t>
            </w:r>
          </w:p>
        </w:tc>
        <w:tc>
          <w:tcPr>
            <w:tcW w:w="5424" w:type="dxa"/>
            <w:vAlign w:val="center"/>
          </w:tcPr>
          <w:p w:rsidR="00FA15AC" w:rsidRPr="00FA15AC" w:rsidRDefault="00FA15AC" w:rsidP="00FA15AC">
            <w:pPr>
              <w:jc w:val="both"/>
              <w:rPr>
                <w:rFonts w:ascii="INSIGHTSPerpetua" w:hAnsi="INSIGHTSPerpetua" w:cs="Arial"/>
                <w:sz w:val="24"/>
                <w:szCs w:val="24"/>
              </w:rPr>
            </w:pPr>
            <w:r w:rsidRPr="00FA15AC">
              <w:rPr>
                <w:rFonts w:ascii="INSIGHTSPerpetua" w:hAnsi="INSIGHTSPerpetua" w:cs="Arial"/>
                <w:sz w:val="24"/>
                <w:szCs w:val="24"/>
              </w:rPr>
              <w:t xml:space="preserve">Blasphemous Video and Banning of YouTube in Pakistan: Exploring Perception of University and </w:t>
            </w:r>
            <w:proofErr w:type="spellStart"/>
            <w:r w:rsidRPr="00FA15AC">
              <w:rPr>
                <w:rFonts w:ascii="INSIGHTSPerpetua" w:hAnsi="INSIGHTSPerpetua" w:cs="Arial"/>
                <w:sz w:val="24"/>
                <w:szCs w:val="24"/>
              </w:rPr>
              <w:t>Mad┐ris</w:t>
            </w:r>
            <w:proofErr w:type="spellEnd"/>
            <w:r w:rsidRPr="00FA15AC">
              <w:rPr>
                <w:rFonts w:ascii="INSIGHTSPerpetua" w:hAnsi="INSIGHTSPerpetua" w:cs="Arial"/>
                <w:sz w:val="24"/>
                <w:szCs w:val="24"/>
              </w:rPr>
              <w:t xml:space="preserve"> Students in the Mirror of Uses and Gratification Analysis</w:t>
            </w:r>
          </w:p>
        </w:tc>
        <w:tc>
          <w:tcPr>
            <w:tcW w:w="594" w:type="dxa"/>
          </w:tcPr>
          <w:p w:rsidR="00FA15AC" w:rsidRPr="00FA15AC" w:rsidRDefault="00FA15AC" w:rsidP="00FA15AC">
            <w:pPr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FA15AC">
              <w:rPr>
                <w:rFonts w:ascii="Garamond" w:hAnsi="Garamond" w:cs="Arial"/>
                <w:sz w:val="24"/>
                <w:szCs w:val="24"/>
              </w:rPr>
              <w:t>37</w:t>
            </w:r>
          </w:p>
        </w:tc>
      </w:tr>
    </w:tbl>
    <w:p w:rsidR="00D77DA0" w:rsidRDefault="00D77DA0"/>
    <w:sectPr w:rsidR="00D77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  <w:font w:name="INSIGHTS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76D2"/>
    <w:multiLevelType w:val="hybridMultilevel"/>
    <w:tmpl w:val="2D906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D1"/>
    <w:rsid w:val="000B46D1"/>
    <w:rsid w:val="00D77DA0"/>
    <w:rsid w:val="00FA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C33B4B-63A0-4DFD-BC54-82547EDA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A1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A1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A15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 Ullah</dc:creator>
  <cp:keywords/>
  <dc:description/>
  <cp:lastModifiedBy>Saif Ullah</cp:lastModifiedBy>
  <cp:revision>2</cp:revision>
  <dcterms:created xsi:type="dcterms:W3CDTF">2017-05-23T19:25:00Z</dcterms:created>
  <dcterms:modified xsi:type="dcterms:W3CDTF">2017-05-23T19:26:00Z</dcterms:modified>
</cp:coreProperties>
</file>